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rPr>
          <w:rStyle w:val="None B"/>
          <w:rtl w:val="0"/>
          <w:lang w:val="en-US"/>
        </w:rPr>
        <w:t>SECTION 083343</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rPr>
          <w:rStyle w:val="None B"/>
          <w:rtl w:val="0"/>
          <w:lang w:val="en-US"/>
        </w:rPr>
        <w:t>MOVABLE FIRE WALL</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pPr>
        <w:pStyle w:val="Normal.0"/>
        <w:widowControl w:val="0"/>
        <w:spacing w:line="360" w:lineRule="auto"/>
        <w:jc w:val="both"/>
        <w:rPr>
          <w:b w:val="1"/>
          <w:bCs w:val="1"/>
        </w:rPr>
      </w:pPr>
      <w:r>
        <w:rPr>
          <w:b w:val="1"/>
          <w:bCs w:val="1"/>
          <w:rtl w:val="0"/>
          <w:lang w:val="en-US"/>
        </w:rPr>
        <w:t xml:space="preserve">PART 1 </w:t>
      </w:r>
      <w:r>
        <w:rPr>
          <w:b w:val="1"/>
          <w:bCs w:val="1"/>
          <w:rtl w:val="0"/>
          <w:lang w:val="en-US"/>
        </w:rPr>
        <w:t xml:space="preserve">– </w:t>
      </w:r>
      <w:r>
        <w:rPr>
          <w:b w:val="1"/>
          <w:bCs w:val="1"/>
          <w:rtl w:val="0"/>
          <w:lang w:val="en-US"/>
        </w:rPr>
        <w:t>GENERAL</w:t>
        <w:tab/>
        <w:tab/>
        <w:tab/>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1.01 SUMMARY</w:t>
      </w:r>
    </w:p>
    <w:p>
      <w:pPr>
        <w:pStyle w:val="Normal.0"/>
        <w:widowControl w:val="0"/>
        <w:numPr>
          <w:ilvl w:val="1"/>
          <w:numId w:val="2"/>
        </w:numPr>
        <w:bidi w:val="0"/>
        <w:spacing w:line="360" w:lineRule="auto"/>
        <w:ind w:right="0"/>
        <w:jc w:val="both"/>
        <w:rPr>
          <w:rtl w:val="0"/>
          <w:lang w:val="en-US"/>
        </w:rPr>
      </w:pPr>
      <w:r>
        <w:rPr>
          <w:rStyle w:val="None B"/>
          <w:rtl w:val="0"/>
          <w:lang w:val="en-US"/>
        </w:rPr>
        <w:t>Section Includes:</w:t>
      </w:r>
    </w:p>
    <w:p>
      <w:pPr>
        <w:pStyle w:val="Normal.0"/>
        <w:widowControl w:val="0"/>
        <w:numPr>
          <w:ilvl w:val="2"/>
          <w:numId w:val="4"/>
        </w:numPr>
        <w:bidi w:val="0"/>
        <w:spacing w:line="360" w:lineRule="auto"/>
        <w:ind w:right="0"/>
        <w:jc w:val="both"/>
        <w:rPr>
          <w:rtl w:val="0"/>
          <w:lang w:val="en-US"/>
        </w:rPr>
      </w:pPr>
      <w:r>
        <w:rPr>
          <w:rStyle w:val="None B"/>
          <w:rtl w:val="0"/>
          <w:lang w:val="en-US"/>
        </w:rPr>
        <w:t>Division 5 Section "Metal Fabrications" for supplementary metal members supporting smoke curtain systems to structure.</w:t>
      </w:r>
    </w:p>
    <w:p>
      <w:pPr>
        <w:pStyle w:val="Normal.0"/>
        <w:widowControl w:val="0"/>
        <w:numPr>
          <w:ilvl w:val="2"/>
          <w:numId w:val="4"/>
        </w:numPr>
        <w:bidi w:val="0"/>
        <w:spacing w:line="360" w:lineRule="auto"/>
        <w:ind w:right="0"/>
        <w:jc w:val="both"/>
        <w:rPr>
          <w:rtl w:val="0"/>
          <w:lang w:val="en-US"/>
        </w:rPr>
      </w:pPr>
      <w:r>
        <w:rPr>
          <w:rStyle w:val="None B"/>
          <w:rtl w:val="0"/>
          <w:lang w:val="en-US"/>
        </w:rPr>
        <w:t>Division 26 Sections for electrical wiring and connections and for smoke curtain machines.</w:t>
      </w:r>
    </w:p>
    <w:p>
      <w:pPr>
        <w:pStyle w:val="Normal.0"/>
        <w:widowControl w:val="0"/>
        <w:numPr>
          <w:ilvl w:val="2"/>
          <w:numId w:val="4"/>
        </w:numPr>
        <w:bidi w:val="0"/>
        <w:spacing w:line="360" w:lineRule="auto"/>
        <w:ind w:right="0"/>
        <w:jc w:val="both"/>
        <w:rPr>
          <w:rtl w:val="0"/>
          <w:lang w:val="en-US"/>
        </w:rPr>
      </w:pPr>
      <w:r>
        <w:rPr>
          <w:rStyle w:val="None B"/>
          <w:rtl w:val="0"/>
          <w:lang w:val="en-US"/>
        </w:rPr>
        <w:t xml:space="preserve">Division 28 Section </w:t>
      </w:r>
      <w:r>
        <w:rPr>
          <w:rStyle w:val="None B"/>
          <w:rtl w:val="0"/>
          <w:lang w:val="en-US"/>
        </w:rPr>
        <w:t>“</w:t>
      </w:r>
      <w:r>
        <w:rPr>
          <w:rStyle w:val="None B"/>
          <w:rtl w:val="0"/>
          <w:lang w:val="en-US"/>
        </w:rPr>
        <w:t>Fire Alarm</w:t>
      </w:r>
      <w:r>
        <w:rPr>
          <w:rStyle w:val="None B"/>
          <w:rtl w:val="0"/>
          <w:lang w:val="en-US"/>
        </w:rPr>
        <w:t xml:space="preserve">” </w:t>
      </w:r>
      <w:r>
        <w:rPr>
          <w:rStyle w:val="None B"/>
          <w:rtl w:val="0"/>
          <w:lang w:val="en-US"/>
        </w:rPr>
        <w:t>for connections of smoke and fire curtain machines to fire alarm per UL 864 label.</w:t>
      </w:r>
    </w:p>
    <w:p>
      <w:pPr>
        <w:pStyle w:val="Normal.0"/>
        <w:widowControl w:val="0"/>
        <w:numPr>
          <w:ilvl w:val="1"/>
          <w:numId w:val="5"/>
        </w:numPr>
        <w:bidi w:val="0"/>
        <w:spacing w:line="360" w:lineRule="auto"/>
        <w:ind w:right="0"/>
        <w:jc w:val="both"/>
        <w:rPr>
          <w:rtl w:val="0"/>
          <w:lang w:val="en-US"/>
        </w:rPr>
      </w:pPr>
      <w:r>
        <w:rPr>
          <w:rStyle w:val="None B"/>
          <w:rtl w:val="0"/>
          <w:lang w:val="en-US"/>
        </w:rPr>
        <w:t>Products Furnished Under This Section:</w:t>
      </w:r>
    </w:p>
    <w:p>
      <w:pPr>
        <w:pStyle w:val="Normal.0"/>
        <w:widowControl w:val="0"/>
        <w:numPr>
          <w:ilvl w:val="2"/>
          <w:numId w:val="5"/>
        </w:numPr>
        <w:bidi w:val="0"/>
        <w:spacing w:line="360" w:lineRule="auto"/>
        <w:ind w:right="0"/>
        <w:jc w:val="both"/>
        <w:rPr>
          <w:rtl w:val="0"/>
          <w:lang w:val="en-US"/>
        </w:rPr>
      </w:pPr>
      <w:r>
        <w:rPr>
          <w:rStyle w:val="None B"/>
          <w:rtl w:val="0"/>
          <w:lang w:val="en-US"/>
        </w:rPr>
        <w:t xml:space="preserve">This Section includes Steel-Tex Fire Shutter (SFS)  - </w:t>
      </w:r>
    </w:p>
    <w:p>
      <w:pPr>
        <w:pStyle w:val="Normal.0"/>
        <w:widowControl w:val="0"/>
        <w:numPr>
          <w:ilvl w:val="2"/>
          <w:numId w:val="5"/>
        </w:numPr>
        <w:bidi w:val="0"/>
        <w:spacing w:line="360" w:lineRule="auto"/>
        <w:ind w:right="0"/>
        <w:jc w:val="both"/>
        <w:rPr>
          <w:rtl w:val="0"/>
          <w:lang w:val="en-US"/>
        </w:rPr>
      </w:pPr>
      <w:r>
        <w:rPr>
          <w:rStyle w:val="None B"/>
          <w:rtl w:val="0"/>
          <w:lang w:val="en-US"/>
        </w:rPr>
        <w:t>SFS Model Number- U.S. Smoke &amp; Fire -  Dual Hose Stream 120</w:t>
      </w:r>
      <w:r>
        <w:rPr>
          <w:rStyle w:val="None B"/>
          <w:rtl w:val="0"/>
          <w:lang w:val="en-US"/>
        </w:rPr>
        <w:t xml:space="preserve">® </w:t>
      </w:r>
    </w:p>
    <w:p>
      <w:pPr>
        <w:pStyle w:val="Normal.0"/>
        <w:widowControl w:val="0"/>
        <w:numPr>
          <w:ilvl w:val="1"/>
          <w:numId w:val="5"/>
        </w:numPr>
        <w:bidi w:val="0"/>
        <w:spacing w:line="360" w:lineRule="auto"/>
        <w:ind w:right="0"/>
        <w:jc w:val="both"/>
        <w:rPr>
          <w:rtl w:val="0"/>
          <w:lang w:val="en-US"/>
        </w:rPr>
      </w:pPr>
      <w:r>
        <w:rPr>
          <w:rStyle w:val="None B"/>
          <w:rtl w:val="0"/>
          <w:lang w:val="en-US"/>
        </w:rPr>
        <w:t>Related Requirements:</w:t>
      </w:r>
    </w:p>
    <w:p>
      <w:pPr>
        <w:pStyle w:val="Normal.0"/>
        <w:widowControl w:val="0"/>
        <w:numPr>
          <w:ilvl w:val="2"/>
          <w:numId w:val="5"/>
        </w:numPr>
        <w:bidi w:val="0"/>
        <w:spacing w:line="360" w:lineRule="auto"/>
        <w:ind w:right="0"/>
        <w:jc w:val="both"/>
        <w:rPr>
          <w:rtl w:val="0"/>
          <w:lang w:val="en-US"/>
        </w:rPr>
      </w:pPr>
      <w:r>
        <w:rPr>
          <w:rStyle w:val="None B"/>
          <w:rtl w:val="0"/>
          <w:lang w:val="en-US"/>
        </w:rPr>
        <w:t>Drawings and general provisions of the Contract, including General and Supplementary Conditions and Division 01 Specification Sections, apply to this Section.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1.02 REQUIRED TEST REPORTS FOR  USE AS A TWO HOUR MOVABLE FIRE WALL</w:t>
      </w:r>
      <w:r>
        <w:rPr>
          <w:rStyle w:val="None B"/>
          <w:rtl w:val="0"/>
          <w:lang w:val="en-US"/>
        </w:rPr>
        <w:t xml:space="preserve">– </w:t>
      </w:r>
      <w:r>
        <w:rPr>
          <w:rStyle w:val="None B"/>
          <w:rtl w:val="0"/>
          <w:lang w:val="en-US"/>
        </w:rPr>
        <w:t>Guardian Fire Testing Laboratories Product listing and Labeling Requirement per ISO 17065 by ANSI Accreditation for Steel-Tex Fire Shutter. Testing Laboratory to be IAS Accredited, ISO 17025 Compliant.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1"/>
          <w:numId w:val="7"/>
        </w:numPr>
        <w:bidi w:val="0"/>
        <w:spacing w:line="360" w:lineRule="auto"/>
        <w:ind w:right="0"/>
        <w:jc w:val="both"/>
        <w:rPr>
          <w:rtl w:val="0"/>
          <w:lang w:val="en-US"/>
        </w:rPr>
      </w:pPr>
      <w:r>
        <w:rPr>
          <w:rStyle w:val="None B"/>
          <w:rtl w:val="0"/>
          <w:lang w:val="en-US"/>
        </w:rPr>
        <w:t xml:space="preserve">Required Testing Reports, Label Requirements, and Minimum Performance Standards Tested to: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firstLine="0"/>
        <w:jc w:val="both"/>
      </w:pPr>
    </w:p>
    <w:p>
      <w:pPr>
        <w:pStyle w:val="Normal.0"/>
        <w:widowControl w:val="0"/>
        <w:numPr>
          <w:ilvl w:val="2"/>
          <w:numId w:val="9"/>
        </w:numPr>
        <w:bidi w:val="0"/>
        <w:spacing w:line="360" w:lineRule="auto"/>
        <w:ind w:right="0"/>
        <w:jc w:val="both"/>
        <w:rPr>
          <w:rtl w:val="0"/>
          <w:lang w:val="en-US"/>
        </w:rPr>
      </w:pPr>
      <w:r>
        <w:rPr>
          <w:rStyle w:val="None B"/>
          <w:rtl w:val="0"/>
          <w:lang w:val="en-US"/>
        </w:rPr>
        <w:t xml:space="preserve"> </w:t>
      </w:r>
      <w:r>
        <w:rPr>
          <w:b w:val="1"/>
          <w:bCs w:val="1"/>
          <w:rtl w:val="0"/>
          <w:lang w:val="en-US"/>
        </w:rPr>
        <w:t>UL 10B and ASTM E2226</w:t>
      </w:r>
      <w:r>
        <w:rPr>
          <w:rStyle w:val="None B"/>
          <w:rtl w:val="0"/>
          <w:lang w:val="en-US"/>
        </w:rPr>
        <w:t xml:space="preserve"> (Hose stream test)- Fire test of Door Assemblies listed and labeled for a two hour wall </w:t>
      </w:r>
    </w:p>
    <w:p>
      <w:pPr>
        <w:pStyle w:val="Normal.0"/>
        <w:widowControl w:val="0"/>
        <w:numPr>
          <w:ilvl w:val="2"/>
          <w:numId w:val="9"/>
        </w:numPr>
        <w:bidi w:val="0"/>
        <w:spacing w:line="360" w:lineRule="auto"/>
        <w:ind w:right="0"/>
        <w:jc w:val="both"/>
        <w:rPr>
          <w:rtl w:val="0"/>
          <w:lang w:val="en-US"/>
        </w:rPr>
      </w:pPr>
      <w:r>
        <w:rPr>
          <w:b w:val="1"/>
          <w:bCs w:val="1"/>
          <w:rtl w:val="0"/>
          <w:lang w:val="en-US"/>
        </w:rPr>
        <w:t>ASTM E119</w:t>
      </w:r>
      <w:r>
        <w:rPr>
          <w:rStyle w:val="None B"/>
          <w:rtl w:val="0"/>
          <w:lang w:val="en-US"/>
        </w:rPr>
        <w:t xml:space="preserve"> listed and labeled for two hours in accordance with IBC 903.1.1., for use as a two hour movable fire wall.</w:t>
      </w:r>
    </w:p>
    <w:p>
      <w:pPr>
        <w:pStyle w:val="Normal.0"/>
        <w:widowControl w:val="0"/>
        <w:numPr>
          <w:ilvl w:val="2"/>
          <w:numId w:val="9"/>
        </w:numPr>
        <w:bidi w:val="0"/>
        <w:spacing w:line="360" w:lineRule="auto"/>
        <w:ind w:right="0"/>
        <w:jc w:val="both"/>
        <w:rPr>
          <w:rtl w:val="0"/>
          <w:lang w:val="en-US"/>
        </w:rPr>
      </w:pPr>
      <w:r>
        <w:rPr>
          <w:rStyle w:val="None B"/>
          <w:rtl w:val="0"/>
          <w:lang w:val="en-US"/>
        </w:rPr>
        <w:t>Guardian EE Report</w:t>
      </w:r>
    </w:p>
    <w:p>
      <w:pPr>
        <w:pStyle w:val="Normal.0"/>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firstLine="0"/>
        <w:jc w:val="both"/>
      </w:pPr>
    </w:p>
    <w:p>
      <w:pPr>
        <w:pStyle w:val="Normal.0"/>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1.03 SUBMITTALS</w:t>
      </w:r>
    </w:p>
    <w:p>
      <w:pPr>
        <w:pStyle w:val="Normal.0"/>
        <w:widowControl w:val="0"/>
        <w:numPr>
          <w:ilvl w:val="1"/>
          <w:numId w:val="11"/>
        </w:numPr>
        <w:bidi w:val="0"/>
        <w:spacing w:line="360" w:lineRule="auto"/>
        <w:ind w:right="0"/>
        <w:jc w:val="both"/>
        <w:rPr>
          <w:rtl w:val="0"/>
          <w:lang w:val="en-US"/>
        </w:rPr>
      </w:pPr>
      <w:r>
        <w:rPr>
          <w:rStyle w:val="None B"/>
          <w:rtl w:val="0"/>
          <w:lang w:val="en-US"/>
        </w:rPr>
        <w:t>Product Data:</w:t>
      </w:r>
    </w:p>
    <w:p>
      <w:pPr>
        <w:pStyle w:val="Normal.0"/>
        <w:widowControl w:val="0"/>
        <w:numPr>
          <w:ilvl w:val="2"/>
          <w:numId w:val="13"/>
        </w:numPr>
        <w:bidi w:val="0"/>
        <w:spacing w:line="360" w:lineRule="auto"/>
        <w:ind w:right="0"/>
        <w:jc w:val="both"/>
        <w:rPr>
          <w:rtl w:val="0"/>
          <w:lang w:val="en-US"/>
        </w:rPr>
      </w:pPr>
      <w:r>
        <w:rPr>
          <w:rStyle w:val="None B"/>
          <w:rtl w:val="0"/>
          <w:lang w:val="en-US"/>
        </w:rPr>
        <w:t>For each type of product indicated.</w:t>
      </w:r>
    </w:p>
    <w:p>
      <w:pPr>
        <w:pStyle w:val="Normal.0"/>
        <w:widowControl w:val="0"/>
        <w:numPr>
          <w:ilvl w:val="1"/>
          <w:numId w:val="14"/>
        </w:numPr>
        <w:bidi w:val="0"/>
        <w:spacing w:line="360" w:lineRule="auto"/>
        <w:ind w:right="0"/>
        <w:jc w:val="both"/>
        <w:rPr>
          <w:rtl w:val="0"/>
          <w:lang w:val="en-US"/>
        </w:rPr>
      </w:pPr>
      <w:r>
        <w:rPr>
          <w:rStyle w:val="None B"/>
          <w:rtl w:val="0"/>
          <w:lang w:val="en-US"/>
        </w:rPr>
        <w:t>Shop Drawings:</w:t>
      </w:r>
    </w:p>
    <w:p>
      <w:pPr>
        <w:pStyle w:val="Normal.0"/>
        <w:widowControl w:val="0"/>
        <w:numPr>
          <w:ilvl w:val="2"/>
          <w:numId w:val="14"/>
        </w:numPr>
        <w:bidi w:val="0"/>
        <w:spacing w:line="360" w:lineRule="auto"/>
        <w:ind w:right="0"/>
        <w:jc w:val="both"/>
        <w:rPr>
          <w:rtl w:val="0"/>
          <w:lang w:val="en-US"/>
        </w:rPr>
      </w:pPr>
      <w:r>
        <w:rPr>
          <w:rStyle w:val="None B"/>
          <w:rtl w:val="0"/>
          <w:lang w:val="en-US"/>
        </w:rPr>
        <w:t>Show fabrication and installation details for steel-tex fire shutter. Include plans, sections, details, attachments to other work, and the following:</w:t>
      </w:r>
    </w:p>
    <w:p>
      <w:pPr>
        <w:pStyle w:val="Normal.0"/>
        <w:widowControl w:val="0"/>
        <w:numPr>
          <w:ilvl w:val="3"/>
          <w:numId w:val="16"/>
        </w:numPr>
        <w:bidi w:val="0"/>
        <w:spacing w:line="360" w:lineRule="auto"/>
        <w:ind w:right="0"/>
        <w:jc w:val="both"/>
        <w:rPr>
          <w:rtl w:val="0"/>
          <w:lang w:val="en-US"/>
        </w:rPr>
      </w:pPr>
      <w:r>
        <w:rPr>
          <w:rStyle w:val="None B"/>
          <w:rtl w:val="0"/>
          <w:lang w:val="en-US"/>
        </w:rPr>
        <w:t>Operating clearances.</w:t>
      </w:r>
    </w:p>
    <w:p>
      <w:pPr>
        <w:pStyle w:val="Normal.0"/>
        <w:widowControl w:val="0"/>
        <w:numPr>
          <w:ilvl w:val="3"/>
          <w:numId w:val="17"/>
        </w:numPr>
        <w:bidi w:val="0"/>
        <w:spacing w:line="360" w:lineRule="auto"/>
        <w:ind w:right="0"/>
        <w:jc w:val="both"/>
        <w:rPr>
          <w:rtl w:val="0"/>
          <w:lang w:val="en-US"/>
        </w:rPr>
      </w:pPr>
      <w:r>
        <w:rPr>
          <w:rStyle w:val="None B"/>
          <w:rtl w:val="0"/>
          <w:lang w:val="en-US"/>
        </w:rPr>
        <w:t xml:space="preserve"> Requirements for supporting automatic smoke curtains, track, and equipment. Verify capacity of each track and rigging component to support loads.</w:t>
      </w:r>
    </w:p>
    <w:p>
      <w:pPr>
        <w:pStyle w:val="Normal.0"/>
        <w:widowControl w:val="0"/>
        <w:numPr>
          <w:ilvl w:val="3"/>
          <w:numId w:val="17"/>
        </w:numPr>
        <w:bidi w:val="0"/>
        <w:spacing w:line="360" w:lineRule="auto"/>
        <w:ind w:right="0"/>
        <w:jc w:val="both"/>
        <w:rPr>
          <w:rtl w:val="0"/>
          <w:lang w:val="en-US"/>
        </w:rPr>
      </w:pPr>
      <w:r>
        <w:rPr>
          <w:rStyle w:val="None B"/>
          <w:rtl w:val="0"/>
          <w:lang w:val="en-US"/>
        </w:rPr>
        <w:t xml:space="preserve"> Locations of equipment components, switches, motors and controls. Differentiate between manufacturer-installed and field-installed wiring.</w:t>
      </w:r>
    </w:p>
    <w:p>
      <w:pPr>
        <w:pStyle w:val="Normal.0"/>
        <w:widowControl w:val="0"/>
        <w:numPr>
          <w:ilvl w:val="1"/>
          <w:numId w:val="18"/>
        </w:numPr>
        <w:bidi w:val="0"/>
        <w:spacing w:line="360" w:lineRule="auto"/>
        <w:ind w:right="0"/>
        <w:jc w:val="both"/>
        <w:rPr>
          <w:rtl w:val="0"/>
          <w:lang w:val="en-US"/>
        </w:rPr>
      </w:pPr>
      <w:r>
        <w:rPr>
          <w:rStyle w:val="None B"/>
          <w:rtl w:val="0"/>
          <w:lang w:val="en-US"/>
        </w:rPr>
        <w:t xml:space="preserve"> Samples:</w:t>
      </w:r>
    </w:p>
    <w:p>
      <w:pPr>
        <w:pStyle w:val="Normal.0"/>
        <w:widowControl w:val="0"/>
        <w:numPr>
          <w:ilvl w:val="2"/>
          <w:numId w:val="18"/>
        </w:numPr>
        <w:bidi w:val="0"/>
        <w:spacing w:line="360" w:lineRule="auto"/>
        <w:ind w:right="0"/>
        <w:jc w:val="both"/>
        <w:rPr>
          <w:rtl w:val="0"/>
          <w:lang w:val="en-US"/>
        </w:rPr>
      </w:pPr>
      <w:r>
        <w:rPr>
          <w:rStyle w:val="None B"/>
          <w:rtl w:val="0"/>
          <w:lang w:val="en-US"/>
        </w:rPr>
        <w:t xml:space="preserve"> For each type of steel-textile from dye lot to be used for the Work, with specified treatments applied, and showing complete pattern and texture repeat, if any. Mark top and face of textile.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numPr>
          <w:ilvl w:val="1"/>
          <w:numId w:val="18"/>
        </w:numPr>
        <w:bidi w:val="0"/>
        <w:spacing w:line="360" w:lineRule="auto"/>
        <w:ind w:right="0"/>
        <w:jc w:val="both"/>
        <w:rPr>
          <w:rtl w:val="0"/>
          <w:lang w:val="en-US"/>
        </w:rPr>
      </w:pPr>
      <w:r>
        <w:rPr>
          <w:rStyle w:val="None B"/>
          <w:rtl w:val="0"/>
          <w:lang w:val="en-US"/>
        </w:rPr>
        <w:t xml:space="preserve"> Testing Laboratory Label and Accreditation: </w:t>
      </w:r>
    </w:p>
    <w:p>
      <w:pPr>
        <w:pStyle w:val="Normal.0"/>
        <w:widowControl w:val="0"/>
        <w:numPr>
          <w:ilvl w:val="2"/>
          <w:numId w:val="18"/>
        </w:numPr>
        <w:bidi w:val="0"/>
        <w:spacing w:line="360" w:lineRule="auto"/>
        <w:ind w:right="0"/>
        <w:jc w:val="both"/>
        <w:rPr>
          <w:rtl w:val="0"/>
          <w:lang w:val="en-US"/>
        </w:rPr>
      </w:pPr>
      <w:r>
        <w:rPr>
          <w:rStyle w:val="None B"/>
          <w:rtl w:val="0"/>
          <w:lang w:val="en-US"/>
        </w:rPr>
        <w:t xml:space="preserve"> For each type of product provide Guardian label affixed to Assembly. </w:t>
      </w:r>
    </w:p>
    <w:p>
      <w:pPr>
        <w:pStyle w:val="Normal.0"/>
        <w:widowControl w:val="0"/>
        <w:numPr>
          <w:ilvl w:val="2"/>
          <w:numId w:val="18"/>
        </w:numPr>
        <w:bidi w:val="0"/>
        <w:spacing w:line="360" w:lineRule="auto"/>
        <w:ind w:right="0"/>
        <w:jc w:val="both"/>
        <w:rPr>
          <w:rtl w:val="0"/>
          <w:lang w:val="en-US"/>
        </w:rPr>
      </w:pPr>
      <w:r>
        <w:rPr>
          <w:rStyle w:val="None B"/>
          <w:rtl w:val="0"/>
          <w:lang w:val="en-US"/>
        </w:rPr>
        <w:t>The test is accredited and meets the requirements of ISO/IEC 17025 as verified by ANAB per Report AT1247.</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667"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firstLine="0"/>
        <w:jc w:val="both"/>
      </w:pPr>
      <w:r>
        <w:rPr>
          <w:rStyle w:val="None B"/>
          <w:rtl w:val="0"/>
          <w:lang w:val="en-US"/>
        </w:rPr>
        <w:t xml:space="preserve">E. U.S. Green Building Council (USGBC)- LEED- local and regional materials. Assembled in the United States by factory-trained employees.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1.04 CLOSEOUT SUBMITTALS</w:t>
      </w:r>
    </w:p>
    <w:p>
      <w:pPr>
        <w:pStyle w:val="Normal.0"/>
        <w:widowControl w:val="0"/>
        <w:numPr>
          <w:ilvl w:val="1"/>
          <w:numId w:val="20"/>
        </w:numPr>
        <w:bidi w:val="0"/>
        <w:spacing w:line="360" w:lineRule="auto"/>
        <w:ind w:right="0"/>
        <w:jc w:val="both"/>
        <w:rPr>
          <w:rtl w:val="0"/>
          <w:lang w:val="en-US"/>
        </w:rPr>
      </w:pPr>
      <w:r>
        <w:rPr>
          <w:rStyle w:val="None B"/>
          <w:rtl w:val="0"/>
          <w:lang w:val="en-US"/>
        </w:rPr>
        <w:t xml:space="preserve">Operation and Maintenance Data: </w:t>
      </w:r>
    </w:p>
    <w:p>
      <w:pPr>
        <w:pStyle w:val="Normal.0"/>
        <w:widowControl w:val="0"/>
        <w:numPr>
          <w:ilvl w:val="2"/>
          <w:numId w:val="22"/>
        </w:numPr>
        <w:bidi w:val="0"/>
        <w:spacing w:line="360" w:lineRule="auto"/>
        <w:ind w:right="0"/>
        <w:jc w:val="both"/>
        <w:rPr>
          <w:rtl w:val="0"/>
          <w:lang w:val="en-US"/>
        </w:rPr>
      </w:pPr>
      <w:r>
        <w:rPr>
          <w:rStyle w:val="None B"/>
          <w:rtl w:val="0"/>
          <w:lang w:val="en-US"/>
        </w:rPr>
        <w:t>For automatic steel-tex fire shutters to include in maintenance manuals.</w:t>
      </w:r>
    </w:p>
    <w:p>
      <w:pPr>
        <w:pStyle w:val="Normal.0"/>
        <w:widowControl w:val="0"/>
        <w:numPr>
          <w:ilvl w:val="1"/>
          <w:numId w:val="23"/>
        </w:numPr>
        <w:bidi w:val="0"/>
        <w:spacing w:line="360" w:lineRule="auto"/>
        <w:ind w:right="0"/>
        <w:jc w:val="both"/>
        <w:rPr>
          <w:rtl w:val="0"/>
          <w:lang w:val="en-US"/>
        </w:rPr>
      </w:pPr>
      <w:r>
        <w:rPr>
          <w:rStyle w:val="None B"/>
          <w:rtl w:val="0"/>
          <w:lang w:val="en-US"/>
        </w:rPr>
        <w:t xml:space="preserve">Warranty Documentation: </w:t>
      </w:r>
    </w:p>
    <w:p>
      <w:pPr>
        <w:pStyle w:val="Normal.0"/>
        <w:widowControl w:val="0"/>
        <w:numPr>
          <w:ilvl w:val="2"/>
          <w:numId w:val="23"/>
        </w:numPr>
        <w:bidi w:val="0"/>
        <w:spacing w:line="360" w:lineRule="auto"/>
        <w:ind w:right="0"/>
        <w:jc w:val="both"/>
        <w:rPr>
          <w:rtl w:val="0"/>
          <w:lang w:val="en-US"/>
        </w:rPr>
      </w:pPr>
      <w:r>
        <w:rPr>
          <w:rStyle w:val="None B"/>
          <w:rtl w:val="0"/>
          <w:lang w:val="en-US"/>
        </w:rPr>
        <w:t>Special warranties specified in this Section.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1.05 QUALITY ASSURANCE</w:t>
      </w:r>
    </w:p>
    <w:p>
      <w:pPr>
        <w:pStyle w:val="Heading 3"/>
        <w:numPr>
          <w:ilvl w:val="2"/>
          <w:numId w:val="25"/>
        </w:numPr>
        <w:bidi w:val="0"/>
        <w:spacing w:line="360" w:lineRule="auto"/>
        <w:ind w:right="0"/>
        <w:jc w:val="both"/>
        <w:rPr>
          <w:sz w:val="24"/>
          <w:szCs w:val="24"/>
          <w:rtl w:val="0"/>
          <w:lang w:val="en-US"/>
        </w:rPr>
      </w:pPr>
      <w:r>
        <w:rPr>
          <w:rStyle w:val="None B"/>
          <w:sz w:val="24"/>
          <w:szCs w:val="24"/>
          <w:rtl w:val="0"/>
          <w:lang w:val="en-US"/>
        </w:rPr>
        <w:t>Overall Standards:</w:t>
      </w:r>
    </w:p>
    <w:p>
      <w:pPr>
        <w:pStyle w:val="Heading 4"/>
        <w:numPr>
          <w:ilvl w:val="3"/>
          <w:numId w:val="25"/>
        </w:numPr>
        <w:bidi w:val="0"/>
        <w:spacing w:line="360" w:lineRule="auto"/>
        <w:ind w:right="0"/>
        <w:jc w:val="both"/>
        <w:rPr>
          <w:sz w:val="24"/>
          <w:szCs w:val="24"/>
          <w:rtl w:val="0"/>
          <w:lang w:val="en-US"/>
        </w:rPr>
      </w:pPr>
      <w:r>
        <w:rPr>
          <w:rStyle w:val="None B"/>
          <w:sz w:val="24"/>
          <w:szCs w:val="24"/>
          <w:rtl w:val="0"/>
          <w:lang w:val="en-US"/>
        </w:rPr>
        <w:t>Manufacturer shall maintain a quality control program for follow up service in accordance with ISO 1720.</w:t>
      </w:r>
    </w:p>
    <w:p>
      <w:pPr>
        <w:pStyle w:val="Heading 3"/>
        <w:numPr>
          <w:ilvl w:val="2"/>
          <w:numId w:val="25"/>
        </w:numPr>
        <w:bidi w:val="0"/>
        <w:spacing w:line="360" w:lineRule="auto"/>
        <w:ind w:right="0"/>
        <w:jc w:val="both"/>
        <w:rPr>
          <w:sz w:val="24"/>
          <w:szCs w:val="24"/>
          <w:rtl w:val="0"/>
          <w:lang w:val="en-US"/>
        </w:rPr>
      </w:pPr>
      <w:r>
        <w:rPr>
          <w:rStyle w:val="None B"/>
          <w:sz w:val="24"/>
          <w:szCs w:val="24"/>
          <w:rtl w:val="0"/>
          <w:lang w:val="en-US"/>
        </w:rPr>
        <w:t xml:space="preserve">Qualifications: </w:t>
      </w:r>
    </w:p>
    <w:p>
      <w:pPr>
        <w:pStyle w:val="Normal.0"/>
        <w:widowControl w:val="0"/>
        <w:numPr>
          <w:ilvl w:val="2"/>
          <w:numId w:val="27"/>
        </w:numPr>
        <w:bidi w:val="0"/>
        <w:spacing w:line="360" w:lineRule="auto"/>
        <w:ind w:right="0"/>
        <w:jc w:val="both"/>
        <w:rPr>
          <w:rtl w:val="0"/>
          <w:lang w:val="en-US"/>
        </w:rPr>
      </w:pPr>
      <w:r>
        <w:rPr>
          <w:rStyle w:val="None B"/>
          <w:rtl w:val="0"/>
          <w:lang w:val="en-US"/>
        </w:rPr>
        <w:t xml:space="preserve">Installers: </w:t>
      </w:r>
    </w:p>
    <w:p>
      <w:pPr>
        <w:pStyle w:val="Normal.0"/>
        <w:widowControl w:val="0"/>
        <w:numPr>
          <w:ilvl w:val="3"/>
          <w:numId w:val="29"/>
        </w:numPr>
        <w:bidi w:val="0"/>
        <w:spacing w:line="360" w:lineRule="auto"/>
        <w:ind w:right="0"/>
        <w:jc w:val="both"/>
        <w:rPr>
          <w:rtl w:val="0"/>
          <w:lang w:val="en-US"/>
        </w:rPr>
      </w:pPr>
      <w:r>
        <w:rPr>
          <w:rStyle w:val="None B"/>
          <w:rtl w:val="0"/>
          <w:lang w:val="en-US"/>
        </w:rPr>
        <w:t>A firm or individual in the United States with no less then five years on-site installation experience in the United States, experienced in installing fire curtain shutter system similar in material, design, and extent to those indicated for this Project, whose work has resulted in applications with a record of successful in-service performance.</w:t>
      </w:r>
    </w:p>
    <w:p>
      <w:pPr>
        <w:pStyle w:val="Normal.0"/>
        <w:widowControl w:val="0"/>
        <w:numPr>
          <w:ilvl w:val="3"/>
          <w:numId w:val="29"/>
        </w:numPr>
        <w:bidi w:val="0"/>
        <w:spacing w:line="360" w:lineRule="auto"/>
        <w:ind w:right="0"/>
        <w:jc w:val="both"/>
        <w:rPr>
          <w:rtl w:val="0"/>
          <w:lang w:val="en-US"/>
        </w:rPr>
      </w:pPr>
      <w:r>
        <w:rPr>
          <w:rStyle w:val="None B"/>
          <w:rtl w:val="0"/>
          <w:lang w:val="en-US"/>
        </w:rPr>
        <w:t>Conduct conference at Project site to comply with requirements in Division 01 Section "Project Management and Coordination."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1.06 FIELD CONDITIONS</w:t>
      </w:r>
    </w:p>
    <w:p>
      <w:pPr>
        <w:pStyle w:val="Normal.0"/>
        <w:widowControl w:val="0"/>
        <w:numPr>
          <w:ilvl w:val="1"/>
          <w:numId w:val="31"/>
        </w:numPr>
        <w:bidi w:val="0"/>
        <w:spacing w:line="360" w:lineRule="auto"/>
        <w:ind w:right="0"/>
        <w:jc w:val="both"/>
        <w:rPr>
          <w:rtl w:val="0"/>
          <w:lang w:val="en-US"/>
        </w:rPr>
      </w:pPr>
      <w:r>
        <w:rPr>
          <w:rStyle w:val="None B"/>
          <w:rtl w:val="0"/>
          <w:lang w:val="en-US"/>
        </w:rPr>
        <w:t xml:space="preserve">Existing Conditions: </w:t>
      </w:r>
    </w:p>
    <w:p>
      <w:pPr>
        <w:pStyle w:val="Normal.0"/>
        <w:widowControl w:val="0"/>
        <w:numPr>
          <w:ilvl w:val="2"/>
          <w:numId w:val="33"/>
        </w:numPr>
        <w:bidi w:val="0"/>
        <w:spacing w:line="360" w:lineRule="auto"/>
        <w:ind w:right="0"/>
        <w:jc w:val="both"/>
        <w:rPr>
          <w:rtl w:val="0"/>
          <w:lang w:val="en-US"/>
        </w:rPr>
      </w:pPr>
      <w:r>
        <w:rPr>
          <w:rStyle w:val="None B"/>
          <w:rtl w:val="0"/>
          <w:lang w:val="en-US"/>
        </w:rPr>
        <w:t>Verify rough and clear openings and the dimensions of other construction by field measurements or by hold to dimensions before fabrication and indicate measurements on shop drawings.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1.07 WARRANTY</w:t>
      </w:r>
    </w:p>
    <w:p>
      <w:pPr>
        <w:pStyle w:val="Normal.0"/>
        <w:widowControl w:val="0"/>
        <w:numPr>
          <w:ilvl w:val="1"/>
          <w:numId w:val="35"/>
        </w:numPr>
        <w:bidi w:val="0"/>
        <w:spacing w:line="360" w:lineRule="auto"/>
        <w:ind w:right="0"/>
        <w:jc w:val="both"/>
        <w:rPr>
          <w:rtl w:val="0"/>
          <w:lang w:val="en-US"/>
        </w:rPr>
      </w:pPr>
      <w:r>
        <w:rPr>
          <w:rStyle w:val="None B"/>
          <w:rtl w:val="0"/>
          <w:lang w:val="en-US"/>
        </w:rPr>
        <w:t>Manufacturer Warranty:</w:t>
      </w:r>
    </w:p>
    <w:p>
      <w:pPr>
        <w:pStyle w:val="Normal.0"/>
        <w:widowControl w:val="0"/>
        <w:numPr>
          <w:ilvl w:val="2"/>
          <w:numId w:val="37"/>
        </w:numPr>
        <w:bidi w:val="0"/>
        <w:spacing w:line="360" w:lineRule="auto"/>
        <w:ind w:right="0"/>
        <w:jc w:val="both"/>
        <w:rPr>
          <w:rtl w:val="0"/>
          <w:lang w:val="en-US"/>
        </w:rPr>
      </w:pPr>
      <w:r>
        <w:rPr>
          <w:rStyle w:val="None B"/>
          <w:rtl w:val="0"/>
          <w:lang w:val="en-US"/>
        </w:rPr>
        <w:t>Manufacturer</w:t>
      </w:r>
      <w:r>
        <w:rPr>
          <w:rStyle w:val="None B"/>
          <w:rtl w:val="0"/>
          <w:lang w:val="en-US"/>
        </w:rPr>
        <w:t>’</w:t>
      </w:r>
      <w:r>
        <w:rPr>
          <w:rStyle w:val="None B"/>
          <w:rtl w:val="0"/>
          <w:lang w:val="en-US"/>
        </w:rPr>
        <w:t xml:space="preserve">s Warranty one year from date of Substantial Completion.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val="1"/>
          <w:bCs w:val="1"/>
        </w:rPr>
      </w:pPr>
      <w:r>
        <w:rPr>
          <w:b w:val="1"/>
          <w:bCs w:val="1"/>
          <w:rtl w:val="0"/>
          <w:lang w:val="en-US"/>
        </w:rPr>
        <w:t>PART 2 - PRODUCTS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2.01 STEEL- TEX FIRE SHUTTER</w:t>
      </w:r>
    </w:p>
    <w:p>
      <w:pPr>
        <w:pStyle w:val="Normal.0"/>
        <w:widowControl w:val="0"/>
        <w:numPr>
          <w:ilvl w:val="1"/>
          <w:numId w:val="39"/>
        </w:numPr>
        <w:bidi w:val="0"/>
        <w:spacing w:line="360" w:lineRule="auto"/>
        <w:ind w:right="0"/>
        <w:jc w:val="both"/>
        <w:rPr>
          <w:rtl w:val="0"/>
          <w:lang w:val="en-US"/>
        </w:rPr>
      </w:pPr>
      <w:r>
        <w:rPr>
          <w:rStyle w:val="None B"/>
          <w:rtl w:val="0"/>
          <w:lang w:val="en-US"/>
        </w:rPr>
        <w:t xml:space="preserve">Manufacturers: </w:t>
      </w:r>
    </w:p>
    <w:p>
      <w:pPr>
        <w:pStyle w:val="Normal.0"/>
        <w:widowControl w:val="0"/>
        <w:numPr>
          <w:ilvl w:val="2"/>
          <w:numId w:val="41"/>
        </w:numPr>
        <w:bidi w:val="0"/>
        <w:spacing w:line="360" w:lineRule="auto"/>
        <w:ind w:right="0"/>
        <w:jc w:val="both"/>
        <w:rPr>
          <w:rtl w:val="0"/>
          <w:lang w:val="en-US"/>
        </w:rPr>
      </w:pPr>
      <w:r>
        <w:rPr>
          <w:rStyle w:val="None B"/>
          <w:rtl w:val="0"/>
          <w:lang w:val="en-US"/>
        </w:rPr>
        <w:t xml:space="preserve">U.S. Smoke &amp; Fire, 888.917.8777 Ext 102 </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293" w:firstLine="0"/>
        <w:jc w:val="both"/>
      </w:pPr>
      <w:r>
        <w:rPr>
          <w:rStyle w:val="None B"/>
        </w:rPr>
        <w:tab/>
        <w:tab/>
        <w:tab/>
      </w:r>
      <w:r>
        <w:rPr>
          <w:rStyle w:val="Hyperlink.0"/>
        </w:rPr>
        <w:fldChar w:fldCharType="begin" w:fldLock="0"/>
      </w:r>
      <w:r>
        <w:rPr>
          <w:rStyle w:val="Hyperlink.0"/>
        </w:rPr>
        <w:instrText xml:space="preserve"> HYPERLINK "http://www.ussmokeandfirecurtain.com"</w:instrText>
      </w:r>
      <w:r>
        <w:rPr>
          <w:rStyle w:val="Hyperlink.0"/>
        </w:rPr>
        <w:fldChar w:fldCharType="separate" w:fldLock="0"/>
      </w:r>
      <w:r>
        <w:rPr>
          <w:rStyle w:val="Hyperlink.0"/>
          <w:rtl w:val="0"/>
          <w:lang w:val="en-US"/>
        </w:rPr>
        <w:t>www.ussmokeandfirecurtain.com</w:t>
      </w:r>
      <w:r>
        <w:rPr/>
        <w:fldChar w:fldCharType="end" w:fldLock="0"/>
      </w:r>
      <w:r>
        <w:rPr>
          <w:rStyle w:val="None B"/>
          <w:rtl w:val="0"/>
          <w:lang w:val="en-US"/>
        </w:rPr>
        <w:t>, www.ussmokeandfire.com</w:t>
      </w:r>
    </w:p>
    <w:p>
      <w:pPr>
        <w:pStyle w:val="Normal.0"/>
        <w:widowControl w:val="0"/>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firstLine="1733"/>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firstLine="0"/>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013" w:firstLine="0"/>
      </w:pPr>
      <w:r>
        <w:rPr>
          <w:rStyle w:val="None B"/>
          <w:rtl w:val="0"/>
          <w:lang w:val="en-US"/>
        </w:rPr>
        <w:t>B.  Basis of Design Manufacturer: U.S. Smoke &amp; Fire Dual Hose Stream 120</w:t>
      </w:r>
      <w:r>
        <w:rPr>
          <w:rStyle w:val="None B"/>
          <w:rtl w:val="0"/>
          <w:lang w:val="en-US"/>
        </w:rPr>
        <w:t xml:space="preserve">® </w:t>
      </w:r>
      <w:r>
        <w:rPr>
          <w:rStyle w:val="None B"/>
          <w:rtl w:val="0"/>
          <w:lang w:val="en-US"/>
        </w:rPr>
        <w:t>as manufactured by U.S. Smoke &amp; Fire Corporation,  USA.</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013" w:firstLine="0"/>
      </w:pPr>
    </w:p>
    <w:p>
      <w:pPr>
        <w:pStyle w:val="Normal.0"/>
        <w:widowControl w:val="0"/>
        <w:numPr>
          <w:ilvl w:val="1"/>
          <w:numId w:val="42"/>
        </w:numPr>
        <w:bidi w:val="0"/>
        <w:spacing w:line="360" w:lineRule="auto"/>
        <w:ind w:right="0"/>
        <w:jc w:val="both"/>
        <w:rPr>
          <w:rtl w:val="0"/>
          <w:lang w:val="en-US"/>
        </w:rPr>
      </w:pPr>
      <w:r>
        <w:rPr>
          <w:rStyle w:val="None B"/>
          <w:rtl w:val="0"/>
          <w:lang w:val="en-US"/>
        </w:rPr>
        <w:t xml:space="preserve">Description: </w:t>
      </w:r>
    </w:p>
    <w:p>
      <w:pPr>
        <w:pStyle w:val="Normal.0"/>
        <w:widowControl w:val="0"/>
        <w:numPr>
          <w:ilvl w:val="2"/>
          <w:numId w:val="44"/>
        </w:numPr>
        <w:bidi w:val="0"/>
        <w:spacing w:line="360" w:lineRule="auto"/>
        <w:ind w:right="0"/>
        <w:jc w:val="both"/>
        <w:rPr>
          <w:rtl w:val="0"/>
          <w:lang w:val="en-US"/>
        </w:rPr>
      </w:pPr>
      <w:r>
        <w:rPr>
          <w:rStyle w:val="None B"/>
          <w:rtl w:val="0"/>
          <w:lang w:val="en-US"/>
        </w:rPr>
        <w:t xml:space="preserve"> Provide U.S. Smoke &amp; Fire </w:t>
      </w:r>
      <w:r>
        <w:rPr>
          <w:rStyle w:val="None"/>
          <w:b w:val="1"/>
          <w:bCs w:val="1"/>
          <w:rtl w:val="0"/>
          <w:lang w:val="en-US"/>
        </w:rPr>
        <w:t>Dual Hose Stream 120</w:t>
      </w:r>
      <w:r>
        <w:rPr>
          <w:rStyle w:val="None"/>
          <w:b w:val="1"/>
          <w:bCs w:val="1"/>
          <w:rtl w:val="0"/>
          <w:lang w:val="en-US"/>
        </w:rPr>
        <w:t>®</w:t>
      </w:r>
      <w:r>
        <w:rPr>
          <w:rStyle w:val="None B"/>
          <w:rtl w:val="0"/>
          <w:lang w:val="en-US"/>
        </w:rPr>
        <w:t xml:space="preserve"> as manufactured by U.S. Smoke and Fire Corp.</w:t>
      </w:r>
    </w:p>
    <w:p>
      <w:pPr>
        <w:pStyle w:val="Normal.0"/>
        <w:widowControl w:val="0"/>
        <w:numPr>
          <w:ilvl w:val="2"/>
          <w:numId w:val="44"/>
        </w:numPr>
        <w:bidi w:val="0"/>
        <w:spacing w:line="360" w:lineRule="auto"/>
        <w:ind w:right="0"/>
        <w:jc w:val="both"/>
        <w:rPr>
          <w:rtl w:val="0"/>
          <w:lang w:val="en-US"/>
        </w:rPr>
      </w:pPr>
      <w:r>
        <w:rPr>
          <w:rStyle w:val="None"/>
          <w:outline w:val="0"/>
          <w:color w:val="000000"/>
          <w:u w:color="000000"/>
          <w:rtl w:val="0"/>
          <w:lang w:val="en-US"/>
          <w14:textFill>
            <w14:solidFill>
              <w14:srgbClr w14:val="000000"/>
            </w14:solidFill>
          </w14:textFill>
        </w:rPr>
        <w:t>There are no substitutions of materials specified allowed during the bidding process. If, for any reason a deviation from materials specified by the designers is desired or warranted, a cover letter and a request for deviation. Transmittal form must be submitted to construction manager (CM). If the proposed deviation is rejected by the CM or the Designers, it is this subcontractor</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responsibility to obtain the original items and maintain the original construction schedule. The Designer has the right to require the originally specified material or item and his decision on the matter is final. </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20" w:firstLine="0"/>
        <w:jc w:val="both"/>
      </w:pPr>
    </w:p>
    <w:p>
      <w:pPr>
        <w:pStyle w:val="Normal.0"/>
        <w:widowControl w:val="0"/>
        <w:numPr>
          <w:ilvl w:val="1"/>
          <w:numId w:val="45"/>
        </w:numPr>
        <w:bidi w:val="0"/>
        <w:spacing w:line="360" w:lineRule="auto"/>
        <w:ind w:right="0"/>
        <w:jc w:val="both"/>
        <w:rPr>
          <w:rtl w:val="0"/>
          <w:lang w:val="en-US"/>
        </w:rPr>
      </w:pPr>
      <w:r>
        <w:rPr>
          <w:rStyle w:val="None B"/>
          <w:rtl w:val="0"/>
          <w:lang w:val="en-US"/>
        </w:rPr>
        <w:t>Performance/Design Criteria:</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Head Box- The head box shall be manufactured from 18 gauge galvanized steel. The enclosure shall be rated at the same temperature as the fabric. Head Boxes  are installed back to back with a 9 inch gap between steel-tex  fire curtain shutters for temperature rise on unexposed side per ASTM E119.</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Cover Plates- Removable cover plates shall be incorporated to allow access to the curtain rollers.</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Sizes- Standard head box sizes shall be 9 inches x 9 inches for single rollers and 9 inches x 15 inches for multiple rollers. Larger head boxes may be required where the curtain drop is in excess of 15 feet drop height.</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Bottom Bar- A weighted bottom bar shall be provided to prevent deflection and ensure correct operation.</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Roller Assembly -The roller shall be constructed from a round tube, which will incorporate Motor and gearbox and a sealed heavy-duty ball bearing assembly.</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Motor Controller t- A motor controller  housed in a steel enclosure shall be mounted onto the motor end of the head box.</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710" w:firstLine="0"/>
        <w:jc w:val="both"/>
      </w:pPr>
    </w:p>
    <w:p>
      <w:pPr>
        <w:pStyle w:val="Normal.0"/>
        <w:widowControl w:val="0"/>
        <w:numPr>
          <w:ilvl w:val="2"/>
          <w:numId w:val="45"/>
        </w:numPr>
        <w:bidi w:val="0"/>
        <w:spacing w:line="360" w:lineRule="auto"/>
        <w:ind w:right="0"/>
        <w:jc w:val="both"/>
        <w:rPr>
          <w:rtl w:val="0"/>
          <w:lang w:val="en-US"/>
        </w:rPr>
      </w:pPr>
      <w:r>
        <w:rPr>
          <w:rStyle w:val="None B"/>
          <w:rtl w:val="0"/>
          <w:lang w:val="en-US"/>
        </w:rPr>
        <w:t>Steel Textile</w:t>
      </w:r>
      <w:r>
        <w:rPr>
          <w:rStyle w:val="None B"/>
          <w:rtl w:val="0"/>
          <w:lang w:val="en-US"/>
        </w:rPr>
        <w:t xml:space="preserve">— </w:t>
      </w:r>
      <w:r>
        <w:rPr>
          <w:rStyle w:val="None B"/>
          <w:rtl w:val="0"/>
          <w:lang w:val="en-US"/>
        </w:rPr>
        <w:t>The steel-tex fire shutter system shall be manufactured from wire inserted woven fiber with two hour coating. The woven wire reinforced high performance multi-layer fiber textile with 2 hour coating shall be tested to the standard of UL 10B with hose stream performance for an opening in a two hour fire wall per IBC 715.3.</w:t>
      </w: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The Dual Hose Stream 120</w:t>
      </w:r>
      <w:r>
        <w:rPr>
          <w:rStyle w:val="None B"/>
          <w:rtl w:val="0"/>
          <w:lang w:val="en-US"/>
        </w:rPr>
        <w:t xml:space="preserve">® </w:t>
      </w:r>
      <w:r>
        <w:rPr>
          <w:rStyle w:val="None B"/>
          <w:rtl w:val="0"/>
          <w:lang w:val="en-US"/>
        </w:rPr>
        <w:t xml:space="preserve">is listed per </w:t>
      </w:r>
      <w:r>
        <w:rPr>
          <w:rStyle w:val="None"/>
          <w:b w:val="1"/>
          <w:bCs w:val="1"/>
          <w:rtl w:val="0"/>
          <w:lang w:val="en-US"/>
        </w:rPr>
        <w:t>ASTM E119</w:t>
      </w:r>
      <w:r>
        <w:rPr>
          <w:rStyle w:val="None B"/>
          <w:rtl w:val="0"/>
          <w:lang w:val="en-US"/>
        </w:rPr>
        <w:t xml:space="preserve"> standard and  listed for 120 minutes or </w:t>
      </w:r>
      <w:r>
        <w:rPr>
          <w:rStyle w:val="None"/>
          <w:b w:val="1"/>
          <w:bCs w:val="1"/>
          <w:rtl w:val="0"/>
          <w:lang w:val="en-US"/>
        </w:rPr>
        <w:t>two hours.</w:t>
      </w:r>
    </w:p>
    <w:p>
      <w:pPr>
        <w:pStyle w:val="Normal.0"/>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B"/>
        </w:rPr>
      </w:pPr>
    </w:p>
    <w:p>
      <w:pPr>
        <w:pStyle w:val="Normal.0"/>
        <w:widowControl w:val="0"/>
        <w:numPr>
          <w:ilvl w:val="2"/>
          <w:numId w:val="45"/>
        </w:numPr>
        <w:bidi w:val="0"/>
        <w:spacing w:line="360" w:lineRule="auto"/>
        <w:ind w:right="0"/>
        <w:jc w:val="both"/>
        <w:rPr>
          <w:rtl w:val="0"/>
          <w:lang w:val="en-US"/>
        </w:rPr>
      </w:pPr>
      <w:r>
        <w:rPr>
          <w:rStyle w:val="None B"/>
          <w:rtl w:val="0"/>
          <w:lang w:val="en-US"/>
        </w:rPr>
        <w:t xml:space="preserve"> Side Guide Assemblies- Each guide assembly shall be fabricated of a steel channel with integral pressure retaining tabs. Channels to be 2 inches by 4 inches.</w:t>
      </w:r>
    </w:p>
    <w:p>
      <w:pPr>
        <w:pStyle w:val="Normal.0"/>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pPr>
    </w:p>
    <w:p>
      <w:pPr>
        <w:pStyle w:val="Normal.0"/>
        <w:widowControl w:val="0"/>
        <w:numPr>
          <w:ilvl w:val="2"/>
          <w:numId w:val="45"/>
        </w:numPr>
        <w:bidi w:val="0"/>
        <w:spacing w:line="360" w:lineRule="auto"/>
        <w:ind w:right="0"/>
        <w:jc w:val="both"/>
        <w:rPr>
          <w:rtl w:val="0"/>
          <w:lang w:val="en-US"/>
        </w:rPr>
      </w:pPr>
      <w:r>
        <w:rPr>
          <w:rStyle w:val="None B"/>
          <w:rtl w:val="0"/>
          <w:lang w:val="en-US"/>
        </w:rPr>
        <w:t>Finish- Factory galvanized steel enclosure. Clean all metal surfaces for paint adhesion.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710" w:firstLine="0"/>
        <w:jc w:val="both"/>
      </w:pPr>
    </w:p>
    <w:p>
      <w:pPr>
        <w:pStyle w:val="Normal.0"/>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1"/>
          <w:numId w:val="46"/>
        </w:numPr>
        <w:bidi w:val="0"/>
        <w:spacing w:line="360" w:lineRule="auto"/>
        <w:ind w:right="0"/>
        <w:jc w:val="both"/>
        <w:rPr>
          <w:rtl w:val="0"/>
          <w:lang w:val="en-US"/>
        </w:rPr>
      </w:pPr>
      <w:r>
        <w:rPr>
          <w:rStyle w:val="None B"/>
          <w:rtl w:val="0"/>
          <w:lang w:val="en-US"/>
        </w:rPr>
        <w:t>Operation</w:t>
      </w:r>
    </w:p>
    <w:p>
      <w:pPr>
        <w:pStyle w:val="Normal.0"/>
        <w:widowControl w:val="0"/>
        <w:numPr>
          <w:ilvl w:val="2"/>
          <w:numId w:val="48"/>
        </w:numPr>
        <w:bidi w:val="0"/>
        <w:spacing w:line="360" w:lineRule="auto"/>
        <w:ind w:right="0"/>
        <w:jc w:val="both"/>
        <w:rPr>
          <w:rtl w:val="0"/>
          <w:lang w:val="en-US"/>
        </w:rPr>
      </w:pPr>
      <w:r>
        <w:rPr>
          <w:rStyle w:val="None B"/>
          <w:rtl w:val="0"/>
          <w:lang w:val="en-US"/>
        </w:rPr>
        <w:t>The SFS system shall deploy upon a signal from the fire alarm system in an emergency situation.</w:t>
      </w:r>
    </w:p>
    <w:p>
      <w:pPr>
        <w:pStyle w:val="Normal.0"/>
        <w:widowControl w:val="0"/>
        <w:numPr>
          <w:ilvl w:val="2"/>
          <w:numId w:val="48"/>
        </w:numPr>
        <w:bidi w:val="0"/>
        <w:spacing w:line="360" w:lineRule="auto"/>
        <w:ind w:right="0"/>
        <w:jc w:val="both"/>
        <w:rPr>
          <w:rtl w:val="0"/>
          <w:lang w:val="en-US"/>
        </w:rPr>
      </w:pPr>
      <w:r>
        <w:rPr>
          <w:rStyle w:val="None B"/>
          <w:rtl w:val="0"/>
          <w:lang w:val="en-US"/>
        </w:rPr>
        <w:t xml:space="preserve">Under normal operating conditions the steel-tex fire shutter would be held in the retracted position via the motors operating a voltage. </w:t>
      </w:r>
    </w:p>
    <w:p>
      <w:pPr>
        <w:pStyle w:val="Normal.0"/>
        <w:widowControl w:val="0"/>
        <w:numPr>
          <w:ilvl w:val="2"/>
          <w:numId w:val="48"/>
        </w:numPr>
        <w:bidi w:val="0"/>
        <w:spacing w:line="360" w:lineRule="auto"/>
        <w:ind w:right="0"/>
        <w:jc w:val="both"/>
        <w:rPr>
          <w:rtl w:val="0"/>
          <w:lang w:val="en-US"/>
        </w:rPr>
      </w:pPr>
      <w:r>
        <w:rPr>
          <w:rStyle w:val="None B"/>
          <w:rtl w:val="0"/>
          <w:lang w:val="en-US"/>
        </w:rPr>
        <w:t>Upon activation of the fire alarm, the controller will remove the supply voltage and the SFS system shall descend in a controlled manner. A dynamic braking system housed in the motor control circuit shall control the speed of the descent of the curtain. To retract the SFS system, the control panel shall supply voltage to the motor controller and motors will drive the steel-tex fire shutter to the upper position. As the bottom bar or stopping bar hits the shutter housing a current limiting circuit will step back the voltage and current and hold the bottom bar in the retracted position.</w:t>
      </w:r>
    </w:p>
    <w:p>
      <w:pPr>
        <w:pStyle w:val="Normal.0"/>
        <w:widowControl w:val="0"/>
        <w:numPr>
          <w:ilvl w:val="2"/>
          <w:numId w:val="48"/>
        </w:numPr>
        <w:bidi w:val="0"/>
        <w:spacing w:line="360" w:lineRule="auto"/>
        <w:ind w:right="0"/>
        <w:jc w:val="both"/>
        <w:rPr>
          <w:rtl w:val="0"/>
          <w:lang w:val="en-US"/>
        </w:rPr>
      </w:pPr>
      <w:r>
        <w:rPr>
          <w:rStyle w:val="None B"/>
          <w:rtl w:val="0"/>
          <w:lang w:val="en-US"/>
        </w:rPr>
        <w:t>Limit switches are not to be used to control the upper position of the curtain.</w:t>
      </w:r>
    </w:p>
    <w:p>
      <w:pPr>
        <w:pStyle w:val="Normal.0"/>
        <w:widowControl w:val="0"/>
        <w:numPr>
          <w:ilvl w:val="2"/>
          <w:numId w:val="48"/>
        </w:numPr>
        <w:bidi w:val="0"/>
        <w:spacing w:line="360" w:lineRule="auto"/>
        <w:ind w:right="0"/>
        <w:jc w:val="both"/>
        <w:rPr>
          <w:rtl w:val="0"/>
          <w:lang w:val="en-US"/>
        </w:rPr>
      </w:pPr>
      <w:r>
        <w:rPr>
          <w:rStyle w:val="None B"/>
          <w:rtl w:val="0"/>
          <w:lang w:val="en-US"/>
        </w:rPr>
        <w:t xml:space="preserve">power fail to the group control panel, the supply is automatically switched to the integral standby battery. The curtain remains in the </w:t>
      </w:r>
    </w:p>
    <w:p>
      <w:pPr>
        <w:pStyle w:val="Normal.0"/>
        <w:widowControl w:val="0"/>
        <w:numPr>
          <w:ilvl w:val="2"/>
          <w:numId w:val="48"/>
        </w:numPr>
        <w:bidi w:val="0"/>
        <w:spacing w:line="360" w:lineRule="auto"/>
        <w:ind w:right="0"/>
        <w:jc w:val="both"/>
        <w:rPr>
          <w:rtl w:val="0"/>
          <w:lang w:val="en-US"/>
        </w:rPr>
      </w:pPr>
      <w:r>
        <w:rPr>
          <w:rStyle w:val="None B"/>
          <w:rtl w:val="0"/>
          <w:lang w:val="en-US"/>
        </w:rPr>
        <w:t xml:space="preserve"> Control Panel: Provide Control Panel (CP). During normal operation, the CP will provide an AC supply to the fabric fire shutter motor holding them in the retracted position. Should smoke be detected, the fire alarm contact in the CP will be opened by the fire alarm control system, the CP will control the descent of the  motors and the will descend in a controlled manner.</w:t>
      </w:r>
    </w:p>
    <w:p>
      <w:pPr>
        <w:pStyle w:val="Normal.0"/>
        <w:widowControl w:val="0"/>
        <w:numPr>
          <w:ilvl w:val="2"/>
          <w:numId w:val="48"/>
        </w:numPr>
        <w:bidi w:val="0"/>
        <w:spacing w:line="360" w:lineRule="auto"/>
        <w:ind w:right="0"/>
        <w:jc w:val="both"/>
        <w:rPr>
          <w:rtl w:val="0"/>
          <w:lang w:val="en-US"/>
        </w:rPr>
      </w:pPr>
      <w:r>
        <w:rPr>
          <w:rStyle w:val="None B"/>
          <w:rtl w:val="0"/>
          <w:lang w:val="en-US"/>
        </w:rPr>
        <w:t xml:space="preserve">    Open on fire- signal, close on normal mode</w:t>
      </w:r>
    </w:p>
    <w:p>
      <w:pPr>
        <w:pStyle w:val="Normal.0"/>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b w:val="1"/>
          <w:bCs w:val="1"/>
        </w:rPr>
      </w:pPr>
      <w:r>
        <w:rPr>
          <w:rStyle w:val="None"/>
          <w:b w:val="1"/>
          <w:bCs w:val="1"/>
          <w:rtl w:val="0"/>
          <w:lang w:val="en-US"/>
        </w:rPr>
        <w:t>PART 3 - EXECUTION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3.01 EXAMINATION</w:t>
      </w:r>
    </w:p>
    <w:p>
      <w:pPr>
        <w:pStyle w:val="Normal.0"/>
        <w:widowControl w:val="0"/>
        <w:numPr>
          <w:ilvl w:val="1"/>
          <w:numId w:val="50"/>
        </w:numPr>
        <w:bidi w:val="0"/>
        <w:spacing w:line="360" w:lineRule="auto"/>
        <w:ind w:right="0"/>
        <w:jc w:val="both"/>
        <w:rPr>
          <w:rtl w:val="0"/>
          <w:lang w:val="en-US"/>
        </w:rPr>
      </w:pPr>
      <w:r>
        <w:rPr>
          <w:rStyle w:val="None B"/>
          <w:rtl w:val="0"/>
          <w:lang w:val="en-US"/>
        </w:rPr>
        <w:t>Verification of Conditions:</w:t>
      </w:r>
    </w:p>
    <w:p>
      <w:pPr>
        <w:pStyle w:val="Normal.0"/>
        <w:widowControl w:val="0"/>
        <w:numPr>
          <w:ilvl w:val="2"/>
          <w:numId w:val="52"/>
        </w:numPr>
        <w:bidi w:val="0"/>
        <w:spacing w:line="360" w:lineRule="auto"/>
        <w:ind w:right="0"/>
        <w:jc w:val="both"/>
        <w:rPr>
          <w:rtl w:val="0"/>
          <w:lang w:val="en-US"/>
        </w:rPr>
      </w:pPr>
      <w:r>
        <w:rPr>
          <w:rStyle w:val="None B"/>
          <w:rtl w:val="0"/>
          <w:lang w:val="en-US"/>
        </w:rPr>
        <w:t>Examine areas and conditions, with Installer present, for compliance with requirements for supporting members, blocking, installation tolerances, clearances, and other conditions affecting performance of automatic smoke-curtain work. Proceed with installation only after unsatisfactory conditions have been corrected.</w:t>
      </w:r>
    </w:p>
    <w:p>
      <w:pPr>
        <w:pStyle w:val="Normal.0"/>
        <w:widowControl w:val="0"/>
        <w:numPr>
          <w:ilvl w:val="2"/>
          <w:numId w:val="52"/>
        </w:numPr>
        <w:bidi w:val="0"/>
        <w:spacing w:line="360" w:lineRule="auto"/>
        <w:ind w:right="0"/>
        <w:jc w:val="both"/>
        <w:rPr>
          <w:rtl w:val="0"/>
          <w:lang w:val="en-US"/>
        </w:rPr>
      </w:pPr>
      <w:r>
        <w:rPr>
          <w:rStyle w:val="None B"/>
          <w:rtl w:val="0"/>
          <w:lang w:val="en-US"/>
        </w:rPr>
        <w:t>Examine inserts, clips, blocking, or other supports required to be installed by others to support boxes. Proceed with installation only after unsatisfactory conditions have been corrected.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3.02 INSTALLATION</w:t>
      </w:r>
    </w:p>
    <w:p>
      <w:pPr>
        <w:pStyle w:val="Normal.0"/>
        <w:widowControl w:val="0"/>
        <w:numPr>
          <w:ilvl w:val="1"/>
          <w:numId w:val="54"/>
        </w:numPr>
        <w:bidi w:val="0"/>
        <w:spacing w:line="360" w:lineRule="auto"/>
        <w:ind w:right="0"/>
        <w:jc w:val="both"/>
        <w:rPr>
          <w:rtl w:val="0"/>
          <w:lang w:val="en-US"/>
        </w:rPr>
      </w:pPr>
      <w:r>
        <w:rPr>
          <w:rStyle w:val="None B"/>
          <w:rtl w:val="0"/>
          <w:lang w:val="en-US"/>
        </w:rPr>
        <w:t>Install fabric fire shutter according to manufacturer</w:t>
      </w:r>
      <w:r>
        <w:rPr>
          <w:rStyle w:val="None B"/>
          <w:rtl w:val="0"/>
          <w:lang w:val="en-US"/>
        </w:rPr>
        <w:t>’</w:t>
      </w:r>
      <w:r>
        <w:rPr>
          <w:rStyle w:val="None B"/>
          <w:rtl w:val="0"/>
          <w:lang w:val="en-US"/>
        </w:rPr>
        <w:t>s written instructions.</w:t>
      </w:r>
    </w:p>
    <w:p>
      <w:pPr>
        <w:pStyle w:val="Normal.0"/>
        <w:widowControl w:val="0"/>
        <w:numPr>
          <w:ilvl w:val="1"/>
          <w:numId w:val="54"/>
        </w:numPr>
        <w:bidi w:val="0"/>
        <w:spacing w:line="360" w:lineRule="auto"/>
        <w:ind w:right="0"/>
        <w:jc w:val="both"/>
        <w:rPr>
          <w:rtl w:val="0"/>
          <w:lang w:val="en-US"/>
        </w:rPr>
      </w:pPr>
      <w:r>
        <w:rPr>
          <w:rStyle w:val="None B"/>
          <w:rtl w:val="0"/>
          <w:lang w:val="en-US"/>
        </w:rPr>
        <w:t>Interface with Other Work:</w:t>
      </w:r>
    </w:p>
    <w:p>
      <w:pPr>
        <w:pStyle w:val="Normal.0"/>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2"/>
          <w:numId w:val="56"/>
        </w:numPr>
        <w:bidi w:val="0"/>
        <w:spacing w:line="360" w:lineRule="auto"/>
        <w:ind w:right="0"/>
        <w:jc w:val="both"/>
        <w:rPr>
          <w:rtl w:val="0"/>
          <w:lang w:val="en-US"/>
        </w:rPr>
      </w:pPr>
      <w:r>
        <w:rPr>
          <w:rStyle w:val="None B"/>
          <w:rtl w:val="0"/>
          <w:lang w:val="en-US"/>
        </w:rPr>
        <w:t>Notification of deployment- sensors may be installed by others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3.03 FIELD QUALITY CONTROL</w:t>
      </w:r>
    </w:p>
    <w:p>
      <w:pPr>
        <w:pStyle w:val="Normal.0"/>
        <w:widowControl w:val="0"/>
        <w:numPr>
          <w:ilvl w:val="1"/>
          <w:numId w:val="58"/>
        </w:numPr>
        <w:bidi w:val="0"/>
        <w:spacing w:line="360" w:lineRule="auto"/>
        <w:ind w:right="0"/>
        <w:jc w:val="both"/>
        <w:rPr>
          <w:rtl w:val="0"/>
          <w:lang w:val="en-US"/>
        </w:rPr>
      </w:pPr>
      <w:r>
        <w:rPr>
          <w:rStyle w:val="None B"/>
          <w:rtl w:val="0"/>
          <w:lang w:val="en-US"/>
        </w:rPr>
        <w:t>Field Tests and Preventative Maintenance Service</w:t>
      </w:r>
    </w:p>
    <w:p>
      <w:pPr>
        <w:pStyle w:val="Normal.0"/>
        <w:widowControl w:val="0"/>
        <w:numPr>
          <w:ilvl w:val="2"/>
          <w:numId w:val="60"/>
        </w:numPr>
        <w:bidi w:val="0"/>
        <w:spacing w:line="360" w:lineRule="auto"/>
        <w:ind w:right="0"/>
        <w:jc w:val="both"/>
        <w:rPr>
          <w:rtl w:val="0"/>
          <w:lang w:val="en-US"/>
        </w:rPr>
      </w:pPr>
      <w:r>
        <w:rPr>
          <w:rStyle w:val="None B"/>
          <w:rtl w:val="0"/>
          <w:lang w:val="en-US"/>
        </w:rPr>
        <w:t xml:space="preserve">Fire alarm testing- the SFS is required to deploy upon a signal from the fire alarm in an emergency situation. Drop test and commissioning per NFPA 80.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3.04 CLOSEOUT ACTIVITIES</w:t>
      </w:r>
    </w:p>
    <w:p>
      <w:pPr>
        <w:pStyle w:val="Normal.0"/>
        <w:widowControl w:val="0"/>
        <w:numPr>
          <w:ilvl w:val="1"/>
          <w:numId w:val="62"/>
        </w:numPr>
        <w:bidi w:val="0"/>
        <w:spacing w:line="360" w:lineRule="auto"/>
        <w:ind w:right="0"/>
        <w:jc w:val="both"/>
        <w:rPr>
          <w:rtl w:val="0"/>
          <w:lang w:val="en-US"/>
        </w:rPr>
      </w:pPr>
      <w:r>
        <w:rPr>
          <w:rStyle w:val="None B"/>
          <w:rtl w:val="0"/>
          <w:lang w:val="en-US"/>
        </w:rPr>
        <w:t xml:space="preserve">Demonstration: </w:t>
      </w:r>
    </w:p>
    <w:p>
      <w:pPr>
        <w:pStyle w:val="Normal.0"/>
        <w:widowControl w:val="0"/>
        <w:numPr>
          <w:ilvl w:val="2"/>
          <w:numId w:val="64"/>
        </w:numPr>
        <w:bidi w:val="0"/>
        <w:spacing w:line="360" w:lineRule="auto"/>
        <w:ind w:right="0"/>
        <w:jc w:val="both"/>
        <w:rPr>
          <w:rtl w:val="0"/>
          <w:lang w:val="en-US"/>
        </w:rPr>
      </w:pPr>
      <w:r>
        <w:rPr>
          <w:rStyle w:val="None B"/>
          <w:rtl w:val="0"/>
          <w:lang w:val="en-US"/>
        </w:rPr>
        <w:t>Engage a factory-authorized service representative to demonstrate system.</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firstLine="0"/>
        <w:jc w:val="both"/>
      </w:pPr>
    </w:p>
    <w:p>
      <w:pPr>
        <w:pStyle w:val="Normal.0"/>
        <w:widowControl w:val="0"/>
        <w:numPr>
          <w:ilvl w:val="1"/>
          <w:numId w:val="65"/>
        </w:numPr>
        <w:bidi w:val="0"/>
        <w:spacing w:line="360" w:lineRule="auto"/>
        <w:ind w:right="0"/>
        <w:jc w:val="both"/>
        <w:rPr>
          <w:rtl w:val="0"/>
          <w:lang w:val="en-US"/>
        </w:rPr>
      </w:pPr>
      <w:r>
        <w:rPr>
          <w:rStyle w:val="None B"/>
          <w:rtl w:val="0"/>
          <w:lang w:val="en-US"/>
        </w:rPr>
        <w:t>Training:</w:t>
      </w:r>
    </w:p>
    <w:p>
      <w:pPr>
        <w:pStyle w:val="Normal.0"/>
        <w:widowControl w:val="0"/>
        <w:numPr>
          <w:ilvl w:val="2"/>
          <w:numId w:val="65"/>
        </w:numPr>
        <w:bidi w:val="0"/>
        <w:spacing w:line="360" w:lineRule="auto"/>
        <w:ind w:right="0"/>
        <w:jc w:val="both"/>
        <w:rPr>
          <w:rtl w:val="0"/>
          <w:lang w:val="en-US"/>
        </w:rPr>
      </w:pPr>
      <w:r>
        <w:rPr>
          <w:rStyle w:val="None B"/>
          <w:rtl w:val="0"/>
          <w:lang w:val="en-US"/>
        </w:rPr>
        <w:t>Engage a factory-authorized service representative to provide End User training per NFPA 3.</w:t>
      </w: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B"/>
          <w:rtl w:val="0"/>
          <w:lang w:val="en-US"/>
        </w:rPr>
        <w:t>3.05   ANNUAL REQUIRED PREVENTIVE MAINTENANCE REQUIREMENT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numPr>
          <w:ilvl w:val="1"/>
          <w:numId w:val="67"/>
        </w:numPr>
        <w:bidi w:val="0"/>
        <w:spacing w:line="360" w:lineRule="auto"/>
        <w:ind w:right="0"/>
        <w:jc w:val="both"/>
        <w:rPr>
          <w:rtl w:val="0"/>
          <w:lang w:val="en-US"/>
        </w:rPr>
      </w:pPr>
      <w:r>
        <w:rPr>
          <w:rStyle w:val="None B"/>
          <w:rtl w:val="0"/>
          <w:lang w:val="en-US"/>
        </w:rPr>
        <w:t xml:space="preserve"> This is a high performance steel-tex fire shutter system that requites annual adjustment, maintenance and preventative maintenance service. Engage U.S. Care factory certified technician to maintain system once per annum per manufacturers operation and maintenance manual for the preventative maintenance service.</w:t>
      </w:r>
    </w:p>
    <w:p>
      <w:pPr>
        <w:pStyle w:val="Normal.0"/>
        <w:widowControl w:val="0"/>
        <w:numPr>
          <w:ilvl w:val="1"/>
          <w:numId w:val="67"/>
        </w:numPr>
        <w:bidi w:val="0"/>
        <w:spacing w:line="360" w:lineRule="auto"/>
        <w:ind w:right="0"/>
        <w:jc w:val="both"/>
        <w:rPr>
          <w:rtl w:val="0"/>
          <w:lang w:val="en-US"/>
        </w:rPr>
      </w:pPr>
      <w:r>
        <w:rPr>
          <w:rStyle w:val="None B"/>
          <w:rtl w:val="0"/>
          <w:lang w:val="en-US"/>
        </w:rPr>
        <w:t>No contractor nor end user shall attempt any service of the system. Such action shall void the testing laboratory label on the assembly. All maintenance by a U.S. Care factory certified technician.</w:t>
      </w:r>
    </w:p>
    <w:p>
      <w:pPr>
        <w:pStyle w:val="Normal.0"/>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93" w:firstLine="0"/>
        <w:jc w:val="both"/>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pPr>
        <w:pStyle w:val="Normal.0"/>
        <w:spacing w:line="360" w:lineRule="auto"/>
        <w:jc w:val="center"/>
      </w:pPr>
      <w:r>
        <w:rPr>
          <w:rStyle w:val="None B"/>
          <w:rtl w:val="0"/>
          <w:lang w:val="en-US"/>
        </w:rPr>
        <w:t>END OF SECTION 08 33 43</w:t>
      </w:r>
    </w:p>
    <w:sectPr>
      <w:headerReference w:type="default" r:id="rId4"/>
      <w:headerReference w:type="even" r:id="rId5"/>
      <w:footerReference w:type="default" r:id="rId6"/>
      <w:footerReference w:type="even"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
  </w:abstractNum>
  <w:abstractNum w:abstractNumId="19">
    <w:multiLevelType w:val="hybridMultilevel"/>
    <w:styleLink w:val="Imported Style 1"/>
    <w:lvl w:ilvl="0">
      <w:start w:val="1"/>
      <w:numFmt w:val="decimal"/>
      <w:suff w:val="nothing"/>
      <w:lvlText w:val="%1."/>
      <w:lvlJc w:val="left"/>
      <w:pPr>
        <w:tabs>
          <w:tab w:val="clear" w:pos="1152"/>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1152"/>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clear" w:pos="1152"/>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1152"/>
        </w:tabs>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1152"/>
        </w:tabs>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1152"/>
        </w:tabs>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clear" w:pos="1152"/>
        </w:tabs>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115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1152"/>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upperLetter"/>
      <w:suff w:val="tab"/>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35" w:hanging="3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17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upperLetter"/>
      <w:suff w:val="tab"/>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89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upperLetter"/>
      <w:suff w:val="tab"/>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7"/>
  </w:abstractNum>
  <w:abstractNum w:abstractNumId="51">
    <w:multiLevelType w:val="hybridMultilevel"/>
    <w:styleLink w:val="Imported Style 27"/>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8"/>
  </w:abstractNum>
  <w:abstractNum w:abstractNumId="53">
    <w:multiLevelType w:val="hybridMultilevel"/>
    <w:styleLink w:val="Imported Style 28"/>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9"/>
  </w:abstractNum>
  <w:abstractNum w:abstractNumId="55">
    <w:multiLevelType w:val="hybridMultilevel"/>
    <w:styleLink w:val="Imported Style 29"/>
    <w:lvl w:ilvl="0">
      <w:start w:val="1"/>
      <w:numFmt w:val="upperLetter"/>
      <w:suff w:val="tab"/>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0"/>
  </w:abstractNum>
  <w:abstractNum w:abstractNumId="57">
    <w:multiLevelType w:val="hybridMultilevel"/>
    <w:styleLink w:val="Imported Style 30"/>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2"/>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5"/>
  </w:num>
  <w:num w:numId="20">
    <w:abstractNumId w:val="14"/>
  </w:num>
  <w:num w:numId="21">
    <w:abstractNumId w:val="17"/>
  </w:num>
  <w:num w:numId="22">
    <w:abstractNumId w:val="16"/>
  </w:num>
  <w:num w:numId="23">
    <w:abstractNumId w:val="16"/>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9"/>
  </w:num>
  <w:num w:numId="25">
    <w:abstractNumId w:val="18"/>
  </w:num>
  <w:num w:numId="26">
    <w:abstractNumId w:val="21"/>
  </w:num>
  <w:num w:numId="27">
    <w:abstractNumId w:val="20"/>
  </w:num>
  <w:num w:numId="28">
    <w:abstractNumId w:val="23"/>
  </w:num>
  <w:num w:numId="29">
    <w:abstractNumId w:val="22"/>
  </w:num>
  <w:num w:numId="30">
    <w:abstractNumId w:val="25"/>
  </w:num>
  <w:num w:numId="31">
    <w:abstractNumId w:val="24"/>
  </w:num>
  <w:num w:numId="32">
    <w:abstractNumId w:val="27"/>
  </w:num>
  <w:num w:numId="33">
    <w:abstractNumId w:val="26"/>
  </w:num>
  <w:num w:numId="34">
    <w:abstractNumId w:val="29"/>
  </w:num>
  <w:num w:numId="35">
    <w:abstractNumId w:val="28"/>
  </w:num>
  <w:num w:numId="36">
    <w:abstractNumId w:val="31"/>
  </w:num>
  <w:num w:numId="37">
    <w:abstractNumId w:val="30"/>
  </w:num>
  <w:num w:numId="38">
    <w:abstractNumId w:val="33"/>
  </w:num>
  <w:num w:numId="39">
    <w:abstractNumId w:val="32"/>
  </w:num>
  <w:num w:numId="40">
    <w:abstractNumId w:val="35"/>
  </w:num>
  <w:num w:numId="41">
    <w:abstractNumId w:val="34"/>
  </w:num>
  <w:num w:numId="42">
    <w:abstractNumId w:val="34"/>
    <w:lvlOverride w:ilvl="0">
      <w:lvl w:ilvl="0">
        <w:start w:val="1"/>
        <w:numFmt w:val="upperLetter"/>
        <w:suff w:val="tab"/>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7"/>
  </w:num>
  <w:num w:numId="44">
    <w:abstractNumId w:val="36"/>
  </w:num>
  <w:num w:numId="45">
    <w:abstractNumId w:val="36"/>
    <w:lvlOverride w:ilvl="0">
      <w:lvl w:ilvl="0">
        <w:start w:val="1"/>
        <w:numFmt w:val="upperLetter"/>
        <w:suff w:val="tab"/>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36"/>
    <w:lvlOverride w:ilvl="0">
      <w:lvl w:ilvl="0">
        <w:start w:val="1"/>
        <w:numFmt w:val="upperLetter"/>
        <w:suff w:val="tab"/>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39"/>
  </w:num>
  <w:num w:numId="48">
    <w:abstractNumId w:val="38"/>
  </w:num>
  <w:num w:numId="49">
    <w:abstractNumId w:val="41"/>
  </w:num>
  <w:num w:numId="50">
    <w:abstractNumId w:val="40"/>
  </w:num>
  <w:num w:numId="51">
    <w:abstractNumId w:val="43"/>
  </w:num>
  <w:num w:numId="52">
    <w:abstractNumId w:val="42"/>
  </w:num>
  <w:num w:numId="53">
    <w:abstractNumId w:val="45"/>
  </w:num>
  <w:num w:numId="54">
    <w:abstractNumId w:val="44"/>
  </w:num>
  <w:num w:numId="55">
    <w:abstractNumId w:val="47"/>
  </w:num>
  <w:num w:numId="56">
    <w:abstractNumId w:val="46"/>
  </w:num>
  <w:num w:numId="57">
    <w:abstractNumId w:val="49"/>
  </w:num>
  <w:num w:numId="58">
    <w:abstractNumId w:val="48"/>
  </w:num>
  <w:num w:numId="59">
    <w:abstractNumId w:val="51"/>
  </w:num>
  <w:num w:numId="60">
    <w:abstractNumId w:val="50"/>
  </w:num>
  <w:num w:numId="61">
    <w:abstractNumId w:val="53"/>
  </w:num>
  <w:num w:numId="62">
    <w:abstractNumId w:val="52"/>
  </w:num>
  <w:num w:numId="63">
    <w:abstractNumId w:val="55"/>
  </w:num>
  <w:num w:numId="64">
    <w:abstractNumId w:val="54"/>
  </w:num>
  <w:num w:numId="65">
    <w:abstractNumId w:val="54"/>
    <w:lvlOverride w:ilvl="0">
      <w:lvl w:ilvl="0">
        <w:start w:val="1"/>
        <w:numFmt w:val="upperLetter"/>
        <w:suff w:val="tab"/>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57"/>
  </w:num>
  <w:num w:numId="67">
    <w:abstractNumId w:val="5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character" w:styleId="None B">
    <w:name w:val="None B"/>
    <w:rPr>
      <w:lang w:val="en-US"/>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6"/>
      </w:numPr>
    </w:pPr>
  </w:style>
  <w:style w:type="numbering" w:styleId="Imported Style 5">
    <w:name w:val="Imported Style 5"/>
    <w:pPr>
      <w:numPr>
        <w:numId w:val="8"/>
      </w:numPr>
    </w:pPr>
  </w:style>
  <w:style w:type="numbering" w:styleId="Imported Style 6">
    <w:name w:val="Imported Style 6"/>
    <w:pPr>
      <w:numPr>
        <w:numId w:val="10"/>
      </w:numPr>
    </w:pPr>
  </w:style>
  <w:style w:type="numbering" w:styleId="Imported Style 7">
    <w:name w:val="Imported Style 7"/>
    <w:pPr>
      <w:numPr>
        <w:numId w:val="12"/>
      </w:numPr>
    </w:pPr>
  </w:style>
  <w:style w:type="numbering" w:styleId="Imported Style 8">
    <w:name w:val="Imported Style 8"/>
    <w:pPr>
      <w:numPr>
        <w:numId w:val="15"/>
      </w:numPr>
    </w:pPr>
  </w:style>
  <w:style w:type="numbering" w:styleId="Imported Style 9">
    <w:name w:val="Imported Style 9"/>
    <w:pPr>
      <w:numPr>
        <w:numId w:val="19"/>
      </w:numPr>
    </w:pPr>
  </w:style>
  <w:style w:type="numbering" w:styleId="Imported Style 10">
    <w:name w:val="Imported Style 10"/>
    <w:pPr>
      <w:numPr>
        <w:numId w:val="21"/>
      </w:numPr>
    </w:pPr>
  </w:style>
  <w:style w:type="paragraph" w:styleId="Heading 3">
    <w:name w:val="Heading 3"/>
    <w:next w:val="Heading 3"/>
    <w:pPr>
      <w:keepNext w:val="0"/>
      <w:keepLines w:val="0"/>
      <w:pageBreakBefore w:val="0"/>
      <w:widowControl w:val="1"/>
      <w:shd w:val="clear" w:color="auto" w:fill="auto"/>
      <w:tabs>
        <w:tab w:val="left" w:pos="1152"/>
      </w:tabs>
      <w:suppressAutoHyphens w:val="0"/>
      <w:bidi w:val="0"/>
      <w:spacing w:before="22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24"/>
      </w:numPr>
    </w:pPr>
  </w:style>
  <w:style w:type="paragraph" w:styleId="Heading 4">
    <w:name w:val="Heading 4"/>
    <w:next w:val="Heading 4"/>
    <w:pPr>
      <w:keepNext w:val="0"/>
      <w:keepLines w:val="0"/>
      <w:pageBreakBefore w:val="0"/>
      <w:widowControl w:val="1"/>
      <w:shd w:val="clear" w:color="auto" w:fill="auto"/>
      <w:tabs>
        <w:tab w:val="left" w:pos="1584"/>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Imported Style 11">
    <w:name w:val="Imported Style 11"/>
    <w:pPr>
      <w:numPr>
        <w:numId w:val="26"/>
      </w:numPr>
    </w:pPr>
  </w:style>
  <w:style w:type="numbering" w:styleId="Imported Style 12">
    <w:name w:val="Imported Style 12"/>
    <w:pPr>
      <w:numPr>
        <w:numId w:val="28"/>
      </w:numPr>
    </w:pPr>
  </w:style>
  <w:style w:type="numbering" w:styleId="Imported Style 13">
    <w:name w:val="Imported Style 13"/>
    <w:pPr>
      <w:numPr>
        <w:numId w:val="30"/>
      </w:numPr>
    </w:pPr>
  </w:style>
  <w:style w:type="numbering" w:styleId="Imported Style 14">
    <w:name w:val="Imported Style 14"/>
    <w:pPr>
      <w:numPr>
        <w:numId w:val="32"/>
      </w:numPr>
    </w:pPr>
  </w:style>
  <w:style w:type="numbering" w:styleId="Imported Style 15">
    <w:name w:val="Imported Style 15"/>
    <w:pPr>
      <w:numPr>
        <w:numId w:val="34"/>
      </w:numPr>
    </w:pPr>
  </w:style>
  <w:style w:type="numbering" w:styleId="Imported Style 16">
    <w:name w:val="Imported Style 16"/>
    <w:pPr>
      <w:numPr>
        <w:numId w:val="36"/>
      </w:numPr>
    </w:pPr>
  </w:style>
  <w:style w:type="numbering" w:styleId="Imported Style 17">
    <w:name w:val="Imported Style 17"/>
    <w:pPr>
      <w:numPr>
        <w:numId w:val="38"/>
      </w:numPr>
    </w:pPr>
  </w:style>
  <w:style w:type="numbering" w:styleId="Imported Style 18">
    <w:name w:val="Imported Style 18"/>
    <w:pPr>
      <w:numPr>
        <w:numId w:val="40"/>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19">
    <w:name w:val="Imported Style 19"/>
    <w:pPr>
      <w:numPr>
        <w:numId w:val="43"/>
      </w:numPr>
    </w:pPr>
  </w:style>
  <w:style w:type="numbering" w:styleId="Imported Style 20">
    <w:name w:val="Imported Style 20"/>
    <w:pPr>
      <w:numPr>
        <w:numId w:val="47"/>
      </w:numPr>
    </w:pPr>
  </w:style>
  <w:style w:type="numbering" w:styleId="Imported Style 22">
    <w:name w:val="Imported Style 22"/>
    <w:pPr>
      <w:numPr>
        <w:numId w:val="49"/>
      </w:numPr>
    </w:pPr>
  </w:style>
  <w:style w:type="numbering" w:styleId="Imported Style 23">
    <w:name w:val="Imported Style 23"/>
    <w:pPr>
      <w:numPr>
        <w:numId w:val="51"/>
      </w:numPr>
    </w:pPr>
  </w:style>
  <w:style w:type="numbering" w:styleId="Imported Style 24">
    <w:name w:val="Imported Style 24"/>
    <w:pPr>
      <w:numPr>
        <w:numId w:val="53"/>
      </w:numPr>
    </w:pPr>
  </w:style>
  <w:style w:type="numbering" w:styleId="Imported Style 25">
    <w:name w:val="Imported Style 25"/>
    <w:pPr>
      <w:numPr>
        <w:numId w:val="55"/>
      </w:numPr>
    </w:pPr>
  </w:style>
  <w:style w:type="numbering" w:styleId="Imported Style 26">
    <w:name w:val="Imported Style 26"/>
    <w:pPr>
      <w:numPr>
        <w:numId w:val="57"/>
      </w:numPr>
    </w:pPr>
  </w:style>
  <w:style w:type="numbering" w:styleId="Imported Style 27">
    <w:name w:val="Imported Style 27"/>
    <w:pPr>
      <w:numPr>
        <w:numId w:val="59"/>
      </w:numPr>
    </w:pPr>
  </w:style>
  <w:style w:type="numbering" w:styleId="Imported Style 28">
    <w:name w:val="Imported Style 28"/>
    <w:pPr>
      <w:numPr>
        <w:numId w:val="61"/>
      </w:numPr>
    </w:pPr>
  </w:style>
  <w:style w:type="numbering" w:styleId="Imported Style 29">
    <w:name w:val="Imported Style 29"/>
    <w:pPr>
      <w:numPr>
        <w:numId w:val="63"/>
      </w:numPr>
    </w:pPr>
  </w:style>
  <w:style w:type="numbering" w:styleId="Imported Style 30">
    <w:name w:val="Imported Style 30"/>
    <w:pPr>
      <w:numPr>
        <w:numId w:val="6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